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704"/>
        <w:tblW w:w="15451" w:type="dxa"/>
        <w:tblLayout w:type="fixed"/>
        <w:tblLook w:val="04A0" w:firstRow="1" w:lastRow="0" w:firstColumn="1" w:lastColumn="0" w:noHBand="0" w:noVBand="1"/>
      </w:tblPr>
      <w:tblGrid>
        <w:gridCol w:w="284"/>
        <w:gridCol w:w="162"/>
        <w:gridCol w:w="2389"/>
        <w:gridCol w:w="8171"/>
        <w:gridCol w:w="742"/>
        <w:gridCol w:w="741"/>
        <w:gridCol w:w="1338"/>
        <w:gridCol w:w="1624"/>
      </w:tblGrid>
      <w:tr w:rsidR="009356B0" w:rsidRPr="009356B0" w:rsidTr="003F10AA">
        <w:trPr>
          <w:trHeight w:val="230"/>
        </w:trPr>
        <w:tc>
          <w:tcPr>
            <w:tcW w:w="154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56B0" w:rsidRPr="009356B0" w:rsidRDefault="009356B0" w:rsidP="0073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Объявление </w:t>
            </w:r>
            <w:r w:rsidRPr="00935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о проведении закупа медицинских изделий </w:t>
            </w:r>
            <w:r w:rsidRPr="00935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способом запроса ценовых предложений на 2021 год</w:t>
            </w:r>
          </w:p>
        </w:tc>
      </w:tr>
      <w:tr w:rsidR="009356B0" w:rsidRPr="009356B0" w:rsidTr="003F10AA">
        <w:trPr>
          <w:trHeight w:val="406"/>
        </w:trPr>
        <w:tc>
          <w:tcPr>
            <w:tcW w:w="154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6B0" w:rsidRPr="009356B0" w:rsidRDefault="009356B0" w:rsidP="0073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6B0" w:rsidRPr="009356B0" w:rsidTr="003F10AA">
        <w:trPr>
          <w:trHeight w:val="341"/>
        </w:trPr>
        <w:tc>
          <w:tcPr>
            <w:tcW w:w="154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6B0" w:rsidRPr="009356B0" w:rsidRDefault="009356B0" w:rsidP="0073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6B0" w:rsidRPr="009356B0" w:rsidTr="003F10AA">
        <w:trPr>
          <w:trHeight w:val="255"/>
        </w:trPr>
        <w:tc>
          <w:tcPr>
            <w:tcW w:w="154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6B0" w:rsidRPr="003F10AA" w:rsidRDefault="007936DC" w:rsidP="00E9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Шымкент</w:t>
            </w:r>
            <w:r w:rsidR="009356B0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FF093C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E9736E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FF093C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736E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"09</w:t>
            </w:r>
            <w:r w:rsidR="009356B0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="00E9736E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9356B0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</w:t>
            </w:r>
          </w:p>
        </w:tc>
      </w:tr>
      <w:tr w:rsidR="009356B0" w:rsidRPr="009356B0" w:rsidTr="003F10AA">
        <w:trPr>
          <w:trHeight w:val="230"/>
        </w:trPr>
        <w:tc>
          <w:tcPr>
            <w:tcW w:w="154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6B0" w:rsidRPr="003F10AA" w:rsidRDefault="009356B0" w:rsidP="0073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6B0" w:rsidRPr="009356B0" w:rsidTr="003F10AA">
        <w:trPr>
          <w:trHeight w:val="230"/>
        </w:trPr>
        <w:tc>
          <w:tcPr>
            <w:tcW w:w="154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6B0" w:rsidRPr="003F10AA" w:rsidRDefault="009356B0" w:rsidP="00A50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адрес Заказчика:</w:t>
            </w:r>
            <w:r w:rsidR="00A50023" w:rsidRPr="003F1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коммунальное предприятие на праве хозяйственного ведения «Областная детская больница» Управления общественного здоровья Туркестанской области, расположенный по адресу Республика Казахстан, </w:t>
            </w:r>
            <w:proofErr w:type="spellStart"/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Каратауский</w:t>
            </w:r>
            <w:proofErr w:type="spellEnd"/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мкр.Нурсат</w:t>
            </w:r>
            <w:proofErr w:type="spellEnd"/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 125/1,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объявляет о проведение  закупа медицинских изделий способом запроса ценовых предложений  в соответствии Главы 9 постановлением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</w:t>
            </w:r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страхования, фармацевтических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услуг»</w:t>
            </w:r>
            <w:r w:rsidR="00A3777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(далее–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Правила)                                                                                    </w:t>
            </w:r>
            <w:r w:rsidR="00E9736E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медицинских изделий,  описание фармацевтических услуг, объем закупа, место поставки, сумму, выделенную для закупа по каждому товару;</w:t>
            </w:r>
          </w:p>
        </w:tc>
      </w:tr>
      <w:tr w:rsidR="009356B0" w:rsidRPr="009356B0" w:rsidTr="003F10AA">
        <w:trPr>
          <w:trHeight w:val="942"/>
        </w:trPr>
        <w:tc>
          <w:tcPr>
            <w:tcW w:w="154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6B0" w:rsidRPr="003F10AA" w:rsidRDefault="009356B0" w:rsidP="0073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6C6E" w:rsidRPr="009356B0" w:rsidTr="006000D5">
        <w:trPr>
          <w:trHeight w:val="129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B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</w:t>
            </w:r>
            <w:r w:rsidR="003B7E49"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за ед. в тенге 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         (с НДС) </w:t>
            </w:r>
          </w:p>
        </w:tc>
      </w:tr>
      <w:tr w:rsidR="009D6C6E" w:rsidRPr="009356B0" w:rsidTr="006000D5">
        <w:trPr>
          <w:trHeight w:val="612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E49" w:rsidRPr="003F10AA" w:rsidRDefault="003B7E49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49" w:rsidRPr="003F10AA" w:rsidRDefault="003B7E49" w:rsidP="003B7E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49" w:rsidRPr="003F10AA" w:rsidRDefault="003B7E49" w:rsidP="00CD7DD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должна быть изготовлена из титанового сплава, разрешенно</w:t>
            </w:r>
            <w:r w:rsidR="00CD7DD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к применению в </w:t>
            </w:r>
            <w:proofErr w:type="spellStart"/>
            <w:r w:rsidR="00CD7DD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имплантологии</w:t>
            </w:r>
            <w:proofErr w:type="spellEnd"/>
            <w:r w:rsidR="00CD7DD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обладающими высокими прочностными характеристиками, позволяющими проводить компьютерною томографию (КТ) и магнитно-резонансную томографию (МРТ). Гладкая штанга является элементом конструкции для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эндокорректора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фиксатора позвоночника и служит для жесткой фиксации винтов. Длина 500 мм Ø 2,5 мм.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C5" w:rsidRPr="003F10AA" w:rsidRDefault="005C11C5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1C5" w:rsidRPr="003F10AA" w:rsidRDefault="005C11C5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E49" w:rsidRPr="003F10AA" w:rsidRDefault="003B7E49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49" w:rsidRPr="003F10AA" w:rsidRDefault="003B7E49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49" w:rsidRPr="003F10AA" w:rsidRDefault="003B7E49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49" w:rsidRPr="003F10AA" w:rsidRDefault="003B7E49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9D6C6E" w:rsidRPr="009356B0" w:rsidTr="006000D5">
        <w:trPr>
          <w:trHeight w:val="39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E49" w:rsidRPr="003F10AA" w:rsidRDefault="003B7E49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49" w:rsidRPr="003F10AA" w:rsidRDefault="003B7E49" w:rsidP="003B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8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E49" w:rsidRPr="003F10AA" w:rsidRDefault="003B7E49" w:rsidP="00CD7DD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должна быть изготовлена из титанового сплава, разрешенного к применению в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имплантологии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 обладающими высокими прочностными характеристиками, позволяющими проводить компьютерною томографию (КТ) и магнитно-резонансную томографию (МРТ). Гладкая штанга является элементом конструкции для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эндокорректора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фиксатора позвоночника и служит для жесткой фиксации винтов.  Длина 500 мм  Ø 3,0 мм.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1C5" w:rsidRPr="003F10AA" w:rsidRDefault="005C11C5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1C5" w:rsidRPr="003F10AA" w:rsidRDefault="005C11C5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7E49" w:rsidRPr="003F10AA" w:rsidRDefault="003B7E49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49" w:rsidRPr="003F10AA" w:rsidRDefault="003B7E49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49" w:rsidRPr="003F10AA" w:rsidRDefault="003B7E49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49" w:rsidRPr="003F10AA" w:rsidRDefault="003B7E49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9D6C6E" w:rsidRPr="009356B0" w:rsidTr="006000D5">
        <w:trPr>
          <w:trHeight w:val="39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E49" w:rsidRPr="003F10AA" w:rsidRDefault="00286EB1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49" w:rsidRPr="003F10AA" w:rsidRDefault="003B7E49" w:rsidP="00B3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E49" w:rsidRPr="003F10AA" w:rsidRDefault="003B7E49" w:rsidP="00CD7DD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F10AA">
              <w:rPr>
                <w:color w:val="000000"/>
                <w:sz w:val="20"/>
                <w:szCs w:val="20"/>
              </w:rPr>
              <w:t xml:space="preserve"> 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 должна быть изготовлена из титанового сплава, разрешенног</w:t>
            </w:r>
            <w:r w:rsidR="00CD7DD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к применению в </w:t>
            </w:r>
            <w:proofErr w:type="spellStart"/>
            <w:r w:rsidR="00CD7DD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имплантологии</w:t>
            </w:r>
            <w:proofErr w:type="spellEnd"/>
            <w:r w:rsidR="00CD7DD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обладающими высокими прочностными характеристиками, позволяющими проводить компьютерною томографию (КТ) и магнитно-резонансную томографию (МРТ). Гладкая штанга является элементом конструкции для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эндокорректора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фиксатора позвоночника и служит для жесткой фиксации винтов.  Длина 500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ммØ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3,5 мм.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C5" w:rsidRPr="003F10AA" w:rsidRDefault="005C11C5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11C5" w:rsidRPr="003F10AA" w:rsidRDefault="005C11C5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B7E49" w:rsidRPr="003F10AA" w:rsidRDefault="003B7E49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E49" w:rsidRPr="003F10AA" w:rsidRDefault="003B7E49" w:rsidP="003B7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49" w:rsidRPr="003F10AA" w:rsidRDefault="003B7E49" w:rsidP="003B7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E49" w:rsidRPr="003F10AA" w:rsidRDefault="003B7E49" w:rsidP="003B7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9D6C6E" w:rsidRPr="009356B0" w:rsidTr="006000D5">
        <w:trPr>
          <w:trHeight w:val="802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E49" w:rsidRPr="003F10AA" w:rsidRDefault="00286EB1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49" w:rsidRPr="003F10AA" w:rsidRDefault="003B7E49" w:rsidP="003B7E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E49" w:rsidRPr="003F10AA" w:rsidRDefault="003B7E49" w:rsidP="00CD7DD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F10AA">
              <w:rPr>
                <w:color w:val="000000"/>
                <w:sz w:val="20"/>
                <w:szCs w:val="20"/>
              </w:rPr>
              <w:t xml:space="preserve">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Стержень должна быть изготовлена из титанового сплава, разрешенного к применению в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имплантологии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 обладающими высокими прочностными характеристиками, позволяющими проводить компьютерною томографию (КТ) и магнитно-резонансную томографию (МРТ). Гладкая штанга является элементом конструкции для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эндокорректора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фиксатора позвоночника и служит для жесткой фиксации винтов.  Длина 500 мм Ø 4,0 мм.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1C5" w:rsidRPr="003F10AA" w:rsidRDefault="005C11C5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1C5" w:rsidRPr="003F10AA" w:rsidRDefault="005C11C5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E49" w:rsidRPr="003F10AA" w:rsidRDefault="003B7E49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E49" w:rsidRPr="003F10AA" w:rsidRDefault="003B7E49" w:rsidP="003B7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49" w:rsidRPr="003F10AA" w:rsidRDefault="003B7E49" w:rsidP="003B7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E49" w:rsidRPr="003F10AA" w:rsidRDefault="003B7E49" w:rsidP="003B7E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9D6C6E" w:rsidRPr="009356B0" w:rsidTr="006000D5">
        <w:trPr>
          <w:trHeight w:val="52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E49" w:rsidRPr="003F10AA" w:rsidRDefault="00286EB1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49" w:rsidRPr="003F10AA" w:rsidRDefault="003B7E49" w:rsidP="005D0AE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1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Спицы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компрессионно-дистракционного остеосинтеза,  исполнение перо, </w:t>
            </w:r>
            <w:r w:rsidR="00600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без упора  d 1,8 (2)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длинной 400mm</w:t>
            </w:r>
            <w:r w:rsidRPr="003F1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E49" w:rsidRPr="003F10AA" w:rsidRDefault="003B7E49" w:rsidP="00CD7DD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чрескостного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остеосинтеза применяются спицы d 1,8 мм, дл.400 мм. Материал-нержавеющая сталь марки 12Х18Н10Т.  Спицы гладкие, должны иметь перовидную форму режущей части. Хвостовик спиц. обладает следующими параметрами: длина не менее 10 мм, ширина не более 1,8 (2) мм. Поверхность спиц</w:t>
            </w:r>
            <w:r w:rsidR="00B37937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полированная до шероховатости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0,2 мкм. Спица должна иметь поверхность, обработанную анодно-плазменным методом. Должны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сохранять немагнитные свойства (относительная магнитная проницаемость µr =1,01) на протяжении всего срока эксплуатации Радиус притупления рабочей части спиц 0,03 мм. Спица выдерживает усилия на разрыв (предел прочности) 130 кгс/мм2. Должны быть упаковано в индивидуальную картонную упаковку с указанием наименования изделия, логотипом и адресом изготовителя.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09" w:rsidRPr="003F10AA" w:rsidRDefault="001A1409" w:rsidP="001A1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0D5" w:rsidRDefault="006000D5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7E49" w:rsidRPr="003F10AA" w:rsidRDefault="003B7E49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E49" w:rsidRPr="003F10AA" w:rsidRDefault="003B7E49" w:rsidP="001974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E49" w:rsidRPr="003F10AA" w:rsidRDefault="003B7E49" w:rsidP="001974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E49" w:rsidRPr="003F10AA" w:rsidRDefault="003B7E49" w:rsidP="001974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1974A4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  <w:tr w:rsidR="009D6C6E" w:rsidRPr="009356B0" w:rsidTr="006000D5">
        <w:trPr>
          <w:trHeight w:val="39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E49" w:rsidRPr="003F10AA" w:rsidRDefault="00286EB1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49" w:rsidRPr="003F10AA" w:rsidRDefault="00DC0FCA" w:rsidP="00DC0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Лезвия 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7E49" w:rsidRPr="003F10AA" w:rsidRDefault="00DC0FCA" w:rsidP="003B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дерматома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Wagner</w:t>
            </w: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Стерильные одноразовые (1 уп/10 шт</w:t>
            </w: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49" w:rsidRPr="003F10AA" w:rsidRDefault="00A955B9" w:rsidP="0096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E49" w:rsidRPr="003F10AA" w:rsidRDefault="00DC0FCA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49" w:rsidRPr="003F10AA" w:rsidRDefault="00DC0FCA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12 484,00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E49" w:rsidRPr="003F10AA" w:rsidRDefault="00DC0FCA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3 745 200,00</w:t>
            </w:r>
          </w:p>
        </w:tc>
      </w:tr>
      <w:tr w:rsidR="003F10AA" w:rsidRPr="009356B0" w:rsidTr="006000D5">
        <w:trPr>
          <w:trHeight w:val="1036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FCA" w:rsidRPr="003F10AA" w:rsidRDefault="00286EB1" w:rsidP="00B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CA" w:rsidRPr="003F10AA" w:rsidRDefault="00CA0F7D" w:rsidP="00CA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Гастростомическая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питательная трубка 22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FF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Fr 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0FCA" w:rsidRPr="003F10AA" w:rsidRDefault="00BE2C69" w:rsidP="00754E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Гастростомические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питательные трубки предназначены для установки в сформировавшийся канал. Простая, быстрая замена трубки снаружи без помощи эндоскопа. Легко идентифицировать: на трубку нанесено ее название и международная цветовая кодировка размера во френчах (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Встроенный порт для введения лекарств. Снижение риска раздражения желудка и кровотечения благодаря «утопленному» кончику.</w:t>
            </w:r>
            <w:r w:rsidR="00754EAB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Четкая визуализация: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линия. Быстрое определение правильного положения благодаря сантиметровой маркировке. Вентилируемый мягкий внешний фиксирующий диск способствует оптимальному заживлению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Конический кончик позволяет легко вводить трубку. Объем баллона зависит от размера трубки. Набор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интродукторов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первичной эндоскопической, радиологической и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лапароскопической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CA" w:rsidRPr="003F10AA" w:rsidRDefault="005D0AE3" w:rsidP="0096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FCA" w:rsidRPr="003F10AA" w:rsidRDefault="0067545F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CA" w:rsidRPr="003F10AA" w:rsidRDefault="0067545F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FCA" w:rsidRPr="003F10AA" w:rsidRDefault="00286EB1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1 224 000</w:t>
            </w: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,00</w:t>
            </w:r>
          </w:p>
        </w:tc>
      </w:tr>
      <w:tr w:rsidR="003F10AA" w:rsidRPr="009356B0" w:rsidTr="006000D5">
        <w:trPr>
          <w:trHeight w:val="39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EB1" w:rsidRPr="003F10AA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B1" w:rsidRPr="003F10AA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Гастростомическая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питательная трубка 24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FF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Fr 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6EB1" w:rsidRPr="003F10AA" w:rsidRDefault="00286EB1" w:rsidP="0075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Гастростомические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питательные трубки предназначены для установки в сформировавшийся канал. Простая, быстрая замена трубки снаружи без помощи эндоскопа. Легко идентифицировать: на трубку нанесено ее название и международная цветовая кодировка размера во френчах (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Встроенный порт для введения лекарств. Снижение риска раздражения желудка и кровотечения благодаря «утопленному» </w:t>
            </w:r>
            <w:proofErr w:type="spellStart"/>
            <w:proofErr w:type="gram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кончику.Четкая</w:t>
            </w:r>
            <w:proofErr w:type="spellEnd"/>
            <w:proofErr w:type="gram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визуализация: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линия. Быстрое определение правильного положения благодаря сантиметровой маркировке. Вентилируемый мягкий внешний фиксирующий диск способствует оптимальному заживлению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Конический кончик позволяет легко вводить трубку. Объем баллона зависит от размера трубки. Набор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интродукторов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первичной эндоскопической, радиологической и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лапароскопической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B1" w:rsidRPr="003F10AA" w:rsidRDefault="00286EB1" w:rsidP="0096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EB1" w:rsidRPr="003F10AA" w:rsidRDefault="00286EB1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B1" w:rsidRPr="003F10AA" w:rsidRDefault="00286EB1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EB1" w:rsidRPr="003F10AA" w:rsidRDefault="00286EB1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1 224 000</w:t>
            </w: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,00</w:t>
            </w:r>
          </w:p>
        </w:tc>
      </w:tr>
      <w:tr w:rsidR="003F10AA" w:rsidRPr="009356B0" w:rsidTr="006000D5">
        <w:trPr>
          <w:trHeight w:val="39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EB1" w:rsidRPr="003F10AA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B1" w:rsidRPr="003F10AA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Гастростомическая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питательная трубка 26 </w:t>
            </w:r>
            <w:r w:rsidR="00FF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Fr 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6EB1" w:rsidRPr="003F10AA" w:rsidRDefault="00286EB1" w:rsidP="00754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Гастростомические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питательные трубки предназначены для установки в сформировавшийся канал. Простая, быстрая замена трубки снаружи без помощи эндоскопа. Легко идентифицировать: на трубку нанесено ее название и международная цветовая кодировка размера во френчах (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Встроенный порт для введения лекарств. Снижение риска раздражения желудка и кровотечения благодаря «утопленному» </w:t>
            </w:r>
            <w:proofErr w:type="spellStart"/>
            <w:proofErr w:type="gram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кончику.Четкая</w:t>
            </w:r>
            <w:proofErr w:type="spellEnd"/>
            <w:proofErr w:type="gram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визуализация: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линия. Быстрое определение правильного положения благодаря сантиметровой маркировке. Вентилируемый мягкий внешний фиксирующий диск способствует оптимальному заживлению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Конический кончик позволяет легко вводить трубку. Объем баллона зависит от размера трубки. Набор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интродукторов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первичной эндоскопической, радиологической и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лапароскопической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установки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B1" w:rsidRPr="003F10AA" w:rsidRDefault="00286EB1" w:rsidP="0096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EB1" w:rsidRPr="003F10AA" w:rsidRDefault="00286EB1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EB1" w:rsidRPr="003F10AA" w:rsidRDefault="00286EB1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EB1" w:rsidRPr="003F10AA" w:rsidRDefault="00286EB1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1 224 000</w:t>
            </w: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,00</w:t>
            </w:r>
          </w:p>
        </w:tc>
      </w:tr>
      <w:tr w:rsidR="001974A4" w:rsidRPr="009356B0" w:rsidTr="006000D5">
        <w:trPr>
          <w:trHeight w:val="49"/>
        </w:trPr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4A4" w:rsidRPr="003F10AA" w:rsidRDefault="001974A4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F1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A4" w:rsidRPr="003F10AA" w:rsidRDefault="001974A4" w:rsidP="003B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4A4" w:rsidRPr="003F10AA" w:rsidRDefault="001974A4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4A4" w:rsidRPr="003F10AA" w:rsidRDefault="001974A4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4A4" w:rsidRPr="003F10AA" w:rsidRDefault="001974A4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4A4" w:rsidRPr="003F10AA" w:rsidRDefault="00577473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15 392 200,00</w:t>
            </w:r>
          </w:p>
        </w:tc>
      </w:tr>
      <w:tr w:rsidR="009D6C6E" w:rsidRPr="009356B0" w:rsidTr="003F10AA">
        <w:trPr>
          <w:trHeight w:val="4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C6E" w:rsidRPr="003F10AA" w:rsidRDefault="009D6C6E" w:rsidP="003B7E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0D5" w:rsidRDefault="00352951" w:rsidP="00352951">
            <w:pPr>
              <w:tabs>
                <w:tab w:val="center" w:pos="1134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  <w:p w:rsidR="006000D5" w:rsidRDefault="006000D5" w:rsidP="00352951">
            <w:pPr>
              <w:tabs>
                <w:tab w:val="center" w:pos="1134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951" w:rsidRPr="003F10AA" w:rsidRDefault="00D31604" w:rsidP="006000D5">
            <w:pPr>
              <w:tabs>
                <w:tab w:val="center" w:pos="1134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  <w:r w:rsidR="00600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поставки:</w:t>
            </w:r>
            <w:r w:rsidR="00600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на условиях ИНКОТЕРМС 2010 в течении пяти календарных дней с момента получения заявки от заказчика  (</w:t>
            </w:r>
            <w:proofErr w:type="spellStart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Каратауский</w:t>
            </w:r>
            <w:proofErr w:type="spellEnd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мкр.Нурсат</w:t>
            </w:r>
            <w:proofErr w:type="spellEnd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 125/1)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      </w:r>
          </w:p>
          <w:p w:rsidR="00352951" w:rsidRPr="003F10AA" w:rsidRDefault="00352951" w:rsidP="00352951">
            <w:pPr>
              <w:pStyle w:val="a3"/>
              <w:spacing w:before="0" w:beforeAutospacing="0" w:after="0" w:afterAutospacing="0"/>
              <w:ind w:firstLine="708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F10AA">
              <w:rPr>
                <w:color w:val="000000"/>
                <w:sz w:val="20"/>
                <w:szCs w:val="20"/>
              </w:rPr>
              <w:t>2) место представления (приема) документов и окончательный срок подачи ценовых предложений;</w:t>
            </w:r>
            <w:bookmarkStart w:id="0" w:name="z199"/>
            <w:bookmarkEnd w:id="0"/>
          </w:p>
          <w:p w:rsidR="00352951" w:rsidRPr="003F10AA" w:rsidRDefault="002A234F" w:rsidP="0035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коммунальное предприятие на праве хозяйственного ведения «Областная детская больница» Управления общественного здоровья Туркестанской области, расположенный по адресу Республика Казахстан,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Каратауский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proofErr w:type="gram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мкр.Нурсат</w:t>
            </w:r>
            <w:proofErr w:type="spellEnd"/>
            <w:proofErr w:type="gram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 125/1,</w:t>
            </w:r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 государственных закупок, окончательный срок представления подачи ценовых предложений до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08:3</w:t>
            </w:r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(времени </w:t>
            </w:r>
            <w:proofErr w:type="spellStart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-Султан) «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августа</w:t>
            </w:r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года.</w:t>
            </w:r>
          </w:p>
          <w:p w:rsidR="00352951" w:rsidRPr="003F10AA" w:rsidRDefault="00352951" w:rsidP="0035295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дата, время и место вскрытия конвертов с ценовыми предложениями - </w:t>
            </w:r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:00 (времени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-Султан) «</w:t>
            </w:r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августа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года, </w:t>
            </w:r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коммунальное предприятие на праве хозяйственного ведения «Областная детская больница» Управления общественного здоровья Туркестанской области, расположенный по адресу Республика Казахстан, </w:t>
            </w:r>
            <w:proofErr w:type="spellStart"/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Каратауский</w:t>
            </w:r>
            <w:proofErr w:type="spellEnd"/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proofErr w:type="gramStart"/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мкр.Нурсат</w:t>
            </w:r>
            <w:proofErr w:type="spellEnd"/>
            <w:proofErr w:type="gramEnd"/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 125/1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отдел государственных закупок.</w:t>
            </w:r>
          </w:p>
          <w:p w:rsidR="00352951" w:rsidRPr="003F10AA" w:rsidRDefault="00352951" w:rsidP="00352951">
            <w:pPr>
              <w:pStyle w:val="a3"/>
              <w:spacing w:before="0" w:beforeAutospacing="0" w:after="0" w:afterAutospacing="0"/>
              <w:ind w:firstLine="708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F10AA">
              <w:rPr>
                <w:color w:val="000000"/>
                <w:sz w:val="20"/>
                <w:szCs w:val="20"/>
              </w:rPr>
              <w:t>4) Квалификационные требования, предъявляемые к потенциальному поставщику должны соответствовать Главе 3 Правил.</w:t>
            </w:r>
          </w:p>
          <w:p w:rsidR="00352951" w:rsidRPr="003F10AA" w:rsidRDefault="00352951" w:rsidP="00352951">
            <w:pPr>
              <w:pStyle w:val="a3"/>
              <w:spacing w:before="0" w:beforeAutospacing="0" w:after="0" w:afterAutospacing="0"/>
              <w:ind w:firstLine="708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F10AA">
              <w:rPr>
                <w:color w:val="000000"/>
                <w:sz w:val="20"/>
                <w:szCs w:val="20"/>
              </w:rPr>
              <w:t xml:space="preserve">5)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Правил. </w:t>
            </w:r>
          </w:p>
          <w:p w:rsidR="00352951" w:rsidRPr="003F10AA" w:rsidRDefault="00352951" w:rsidP="00352951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      </w:r>
          </w:p>
          <w:p w:rsidR="00352951" w:rsidRPr="003F10AA" w:rsidRDefault="00352951" w:rsidP="00352951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      </w:r>
          </w:p>
          <w:p w:rsidR="00352951" w:rsidRPr="003F10AA" w:rsidRDefault="00352951" w:rsidP="003529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9D6C6E" w:rsidRPr="003F10AA" w:rsidRDefault="009D6C6E" w:rsidP="003B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6C6E" w:rsidRPr="009356B0" w:rsidTr="003F10AA">
        <w:trPr>
          <w:trHeight w:val="4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C6E" w:rsidRPr="00D81D7D" w:rsidRDefault="009D6C6E" w:rsidP="00D8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C6E" w:rsidRPr="00D81D7D" w:rsidRDefault="009D6C6E" w:rsidP="00D8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6C6E" w:rsidRPr="009356B0" w:rsidTr="003F10AA">
        <w:trPr>
          <w:trHeight w:val="85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C6E" w:rsidRPr="00D81D7D" w:rsidRDefault="009D6C6E" w:rsidP="00D8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D7D" w:rsidRPr="00D81D7D" w:rsidRDefault="00D81D7D" w:rsidP="00D8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D81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Главный врач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D81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Угбаева</w:t>
            </w:r>
            <w:proofErr w:type="spellEnd"/>
            <w:r w:rsidRPr="00D81D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9D6C6E" w:rsidRPr="009356B0" w:rsidTr="003F10AA">
        <w:trPr>
          <w:trHeight w:val="3677"/>
        </w:trPr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C6E" w:rsidRPr="003F10AA" w:rsidRDefault="009D6C6E" w:rsidP="003B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C6E" w:rsidRPr="003F10AA" w:rsidRDefault="009D6C6E" w:rsidP="003B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</w:tbl>
    <w:p w:rsidR="00094A3D" w:rsidRDefault="00094A3D"/>
    <w:sectPr w:rsidR="00094A3D" w:rsidSect="00935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31"/>
    <w:rsid w:val="00094A3D"/>
    <w:rsid w:val="001974A4"/>
    <w:rsid w:val="001A1409"/>
    <w:rsid w:val="00236BE4"/>
    <w:rsid w:val="00286EB1"/>
    <w:rsid w:val="002A234F"/>
    <w:rsid w:val="002C78F6"/>
    <w:rsid w:val="0033067A"/>
    <w:rsid w:val="00345E3C"/>
    <w:rsid w:val="00352951"/>
    <w:rsid w:val="003B7E49"/>
    <w:rsid w:val="003F10AA"/>
    <w:rsid w:val="003F261D"/>
    <w:rsid w:val="005018F5"/>
    <w:rsid w:val="00577473"/>
    <w:rsid w:val="005C11C5"/>
    <w:rsid w:val="005D0AE3"/>
    <w:rsid w:val="006000D5"/>
    <w:rsid w:val="0067545F"/>
    <w:rsid w:val="00733839"/>
    <w:rsid w:val="00754EAB"/>
    <w:rsid w:val="007936DC"/>
    <w:rsid w:val="009356B0"/>
    <w:rsid w:val="00961CE5"/>
    <w:rsid w:val="009D6C6E"/>
    <w:rsid w:val="009E143D"/>
    <w:rsid w:val="009F4E49"/>
    <w:rsid w:val="00A338E6"/>
    <w:rsid w:val="00A37771"/>
    <w:rsid w:val="00A50023"/>
    <w:rsid w:val="00A955B9"/>
    <w:rsid w:val="00AB7498"/>
    <w:rsid w:val="00AD6899"/>
    <w:rsid w:val="00B0440B"/>
    <w:rsid w:val="00B37937"/>
    <w:rsid w:val="00BE2C69"/>
    <w:rsid w:val="00CA0F7D"/>
    <w:rsid w:val="00CD7DD1"/>
    <w:rsid w:val="00CE54E4"/>
    <w:rsid w:val="00D31604"/>
    <w:rsid w:val="00D81D7D"/>
    <w:rsid w:val="00DC0FCA"/>
    <w:rsid w:val="00E9736E"/>
    <w:rsid w:val="00F02331"/>
    <w:rsid w:val="00FC73C5"/>
    <w:rsid w:val="00FF093C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6D4D"/>
  <w15:chartTrackingRefBased/>
  <w15:docId w15:val="{B873EB78-42B6-42E3-A33A-2D1C735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35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52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35295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3529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2021-08-10T17:22:00Z</dcterms:created>
  <dcterms:modified xsi:type="dcterms:W3CDTF">2021-08-22T19:19:00Z</dcterms:modified>
</cp:coreProperties>
</file>